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4" w:rsidRPr="007E36A4" w:rsidRDefault="00346A0D" w:rsidP="000C2DA4">
      <w:pPr>
        <w:rPr>
          <w:sz w:val="24"/>
        </w:rPr>
      </w:pPr>
      <w:r>
        <w:rPr>
          <w:rFonts w:hint="eastAsia"/>
          <w:sz w:val="24"/>
        </w:rPr>
        <w:t>様式</w:t>
      </w:r>
      <w:r w:rsidR="00AD6C86">
        <w:rPr>
          <w:rFonts w:hint="eastAsia"/>
          <w:sz w:val="24"/>
        </w:rPr>
        <w:t>１－１</w:t>
      </w:r>
    </w:p>
    <w:p w:rsidR="000C2DA4" w:rsidRPr="000C2DA4" w:rsidRDefault="00AB121B" w:rsidP="000C2DA4">
      <w:pPr>
        <w:jc w:val="center"/>
        <w:rPr>
          <w:sz w:val="24"/>
        </w:rPr>
      </w:pPr>
      <w:r>
        <w:rPr>
          <w:rFonts w:hint="eastAsia"/>
          <w:sz w:val="24"/>
        </w:rPr>
        <w:t>応　急　手　当</w:t>
      </w:r>
      <w:r w:rsidR="000C2DA4" w:rsidRPr="000C2DA4">
        <w:rPr>
          <w:rFonts w:hint="eastAsia"/>
          <w:sz w:val="24"/>
        </w:rPr>
        <w:t xml:space="preserve">　講　習　効　果　確　認　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764"/>
        <w:gridCol w:w="2967"/>
        <w:gridCol w:w="938"/>
        <w:gridCol w:w="1879"/>
        <w:gridCol w:w="1219"/>
        <w:gridCol w:w="959"/>
        <w:gridCol w:w="452"/>
        <w:gridCol w:w="452"/>
      </w:tblGrid>
      <w:tr w:rsidR="00BF0102" w:rsidTr="00B461B4">
        <w:trPr>
          <w:trHeight w:val="326"/>
        </w:trPr>
        <w:tc>
          <w:tcPr>
            <w:tcW w:w="976" w:type="dxa"/>
            <w:vAlign w:val="center"/>
          </w:tcPr>
          <w:p w:rsidR="00BF0102" w:rsidRDefault="00BF0102" w:rsidP="00265358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1" w:type="dxa"/>
            <w:gridSpan w:val="2"/>
            <w:vAlign w:val="center"/>
          </w:tcPr>
          <w:p w:rsidR="00BF0102" w:rsidRDefault="00BF0102" w:rsidP="00265358">
            <w:pPr>
              <w:spacing w:line="240" w:lineRule="exact"/>
              <w:jc w:val="center"/>
            </w:pPr>
          </w:p>
        </w:tc>
        <w:tc>
          <w:tcPr>
            <w:tcW w:w="938" w:type="dxa"/>
            <w:vAlign w:val="center"/>
          </w:tcPr>
          <w:p w:rsidR="00BF0102" w:rsidRDefault="00BF0102" w:rsidP="00265358">
            <w:pPr>
              <w:spacing w:line="24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879" w:type="dxa"/>
            <w:vAlign w:val="center"/>
          </w:tcPr>
          <w:p w:rsidR="00BF0102" w:rsidRDefault="00BF0102" w:rsidP="00265358">
            <w:pPr>
              <w:spacing w:line="240" w:lineRule="exact"/>
              <w:jc w:val="center"/>
            </w:pPr>
          </w:p>
        </w:tc>
        <w:tc>
          <w:tcPr>
            <w:tcW w:w="1219" w:type="dxa"/>
            <w:vAlign w:val="center"/>
          </w:tcPr>
          <w:p w:rsidR="00BF0102" w:rsidRDefault="00BF0102" w:rsidP="00265358">
            <w:pPr>
              <w:spacing w:line="240" w:lineRule="exact"/>
              <w:jc w:val="center"/>
            </w:pPr>
            <w:r>
              <w:rPr>
                <w:rFonts w:hint="eastAsia"/>
              </w:rPr>
              <w:t>適の項目数</w:t>
            </w:r>
          </w:p>
        </w:tc>
        <w:tc>
          <w:tcPr>
            <w:tcW w:w="1863" w:type="dxa"/>
            <w:gridSpan w:val="3"/>
            <w:vAlign w:val="center"/>
          </w:tcPr>
          <w:p w:rsidR="00BF0102" w:rsidRDefault="00BF0102" w:rsidP="00F371D3">
            <w:pPr>
              <w:spacing w:line="240" w:lineRule="exact"/>
              <w:ind w:firstLineChars="500" w:firstLine="1050"/>
              <w:jc w:val="right"/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項目</w:t>
            </w:r>
          </w:p>
        </w:tc>
      </w:tr>
      <w:tr w:rsidR="00FC5B1D" w:rsidTr="00FC5B1D">
        <w:tc>
          <w:tcPr>
            <w:tcW w:w="1740" w:type="dxa"/>
            <w:gridSpan w:val="2"/>
            <w:vAlign w:val="center"/>
          </w:tcPr>
          <w:p w:rsidR="00FC5B1D" w:rsidRDefault="00FC5B1D" w:rsidP="00FC5B1D">
            <w:pPr>
              <w:spacing w:line="24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962" w:type="dxa"/>
            <w:gridSpan w:val="5"/>
            <w:vAlign w:val="center"/>
          </w:tcPr>
          <w:p w:rsidR="00FC5B1D" w:rsidRDefault="00FC5B1D" w:rsidP="00FC5B1D">
            <w:pPr>
              <w:spacing w:line="240" w:lineRule="exact"/>
              <w:jc w:val="center"/>
            </w:pPr>
            <w:r>
              <w:rPr>
                <w:rFonts w:hint="eastAsia"/>
              </w:rPr>
              <w:t>項　　　　　　　　　　　　　　目</w:t>
            </w:r>
          </w:p>
        </w:tc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FC5B1D" w:rsidRPr="007E36A4" w:rsidRDefault="00FC5B1D" w:rsidP="002653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36A4">
              <w:rPr>
                <w:rFonts w:hint="eastAsia"/>
                <w:sz w:val="18"/>
                <w:szCs w:val="18"/>
              </w:rPr>
              <w:t>適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:rsidR="00FC5B1D" w:rsidRPr="007E36A4" w:rsidRDefault="00FC5B1D" w:rsidP="007E36A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AB121B" w:rsidTr="00AB121B">
        <w:trPr>
          <w:cantSplit/>
          <w:trHeight w:val="233"/>
        </w:trPr>
        <w:tc>
          <w:tcPr>
            <w:tcW w:w="1740" w:type="dxa"/>
            <w:gridSpan w:val="2"/>
            <w:vMerge w:val="restart"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36A4">
              <w:rPr>
                <w:rFonts w:hint="eastAsia"/>
                <w:sz w:val="20"/>
                <w:szCs w:val="20"/>
              </w:rPr>
              <w:t>心肺蘇生法</w:t>
            </w:r>
          </w:p>
        </w:tc>
        <w:tc>
          <w:tcPr>
            <w:tcW w:w="7962" w:type="dxa"/>
            <w:gridSpan w:val="5"/>
          </w:tcPr>
          <w:p w:rsidR="00AB121B" w:rsidRPr="007E36A4" w:rsidRDefault="00AB121B" w:rsidP="00FF7FA7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傷病者の反応を確認したか。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4C184F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FF7FA7">
              <w:rPr>
                <w:rFonts w:hint="eastAsia"/>
                <w:sz w:val="20"/>
                <w:szCs w:val="20"/>
              </w:rPr>
              <w:t>周囲の人に助けを求めたか。「誰か来てください。」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119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番通報とＡＥＤを依頼したか。</w:t>
            </w:r>
          </w:p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119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番通報してください。」「ＡＥＤを持ってきてください。」</w:t>
            </w:r>
          </w:p>
          <w:p w:rsidR="00AB121B" w:rsidRPr="007E36A4" w:rsidRDefault="00AB121B" w:rsidP="00FF7FA7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（または誰もいない場合、自分で１１９番通報したか）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呼吸の確認をしたか。（胸や腹部を見て普段どおりの呼吸</w:t>
            </w:r>
            <w:r>
              <w:rPr>
                <w:rFonts w:hint="eastAsia"/>
                <w:color w:val="000000"/>
                <w:sz w:val="20"/>
                <w:szCs w:val="20"/>
              </w:rPr>
              <w:t>の有無を判断した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か）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呼吸の有無の判断を１０秒以内で行ったか。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ただちに胸骨圧迫を開始したか。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正しい位置を圧迫しているか。</w:t>
            </w:r>
          </w:p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成人・小児：胸の真ん中（胸骨の下半分）</w:t>
            </w:r>
          </w:p>
          <w:p w:rsidR="00AB121B" w:rsidRPr="007E36A4" w:rsidRDefault="00AB121B" w:rsidP="00FF7FA7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乳児：胸の真ん中（両乳頭を結ぶ線の少し足側）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毎分少なくとも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100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回のテンポで圧迫したか。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少なくとも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5cm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（小児・乳児の場合は胸の厚さの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1/3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）沈み込むように深く圧迫したか。</w:t>
            </w:r>
          </w:p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成人・小児（体型により片手で実施）は両手で圧迫</w:t>
            </w:r>
          </w:p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乳児は２本指で圧迫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圧迫と圧迫の間は胸が元の高さに戻るまで解除したか。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気道を確保したか。（頭部後屈あご先挙上法）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人工呼吸をしたか。</w:t>
            </w:r>
          </w:p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乳児：人工呼吸の準備ができ次第、人工呼吸を開始したか。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人工呼吸を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秒かけて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回吹き込んだか。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心肺蘇生法を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対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のサイクルで行っているか。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 w:val="restart"/>
            <w:vAlign w:val="center"/>
          </w:tcPr>
          <w:p w:rsidR="00AB121B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36A4">
              <w:rPr>
                <w:rFonts w:hint="eastAsia"/>
                <w:sz w:val="20"/>
                <w:szCs w:val="20"/>
              </w:rPr>
              <w:t>AED</w:t>
            </w:r>
            <w:r w:rsidRPr="007E36A4">
              <w:rPr>
                <w:rFonts w:hint="eastAsia"/>
                <w:sz w:val="20"/>
                <w:szCs w:val="20"/>
              </w:rPr>
              <w:t>到着</w:t>
            </w:r>
          </w:p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36A4">
              <w:rPr>
                <w:rFonts w:hint="eastAsia"/>
                <w:sz w:val="20"/>
                <w:szCs w:val="20"/>
              </w:rPr>
              <w:t>から解析まで</w:t>
            </w:r>
          </w:p>
        </w:tc>
        <w:tc>
          <w:tcPr>
            <w:tcW w:w="7962" w:type="dxa"/>
            <w:gridSpan w:val="5"/>
          </w:tcPr>
          <w:p w:rsidR="00AB121B" w:rsidRPr="00E85169" w:rsidRDefault="00AB121B" w:rsidP="00FF7FA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ＡＥＤ到着後、傷病者の近くに置き、電源を入れたか。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年齢に応じて小児用電極パッド又は小児用モードを選択したか。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F371D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傷病者の胸部を確認したか。（胸部の乾き・ペースメーカー・経皮貼付剤）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傷病者が濡れている場合、胸部等をタオルで拭いたか。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電極パッド同士が重ならず、適切な位置に貼られているか。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Default="00AB121B" w:rsidP="00865CD9">
            <w:pPr>
              <w:spacing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傷病者の胸部にペースメーカーを確認した場合、ペースメーカーを避けて電極パッド</w:t>
            </w:r>
            <w:r>
              <w:rPr>
                <w:rFonts w:hint="eastAsia"/>
                <w:color w:val="000000"/>
                <w:sz w:val="20"/>
                <w:szCs w:val="20"/>
              </w:rPr>
              <w:t>を</w:t>
            </w:r>
          </w:p>
          <w:p w:rsidR="00AB121B" w:rsidRPr="00E85169" w:rsidRDefault="00AB121B" w:rsidP="00865CD9">
            <w:pPr>
              <w:spacing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貼ったか。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F371D3">
            <w:pPr>
              <w:spacing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傷病者の胸部に経皮貼付剤</w:t>
            </w:r>
            <w:r>
              <w:rPr>
                <w:rFonts w:hint="eastAsia"/>
                <w:color w:val="000000"/>
                <w:sz w:val="20"/>
                <w:szCs w:val="20"/>
              </w:rPr>
              <w:t>など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を確認したら取り除いて電極パッドを貼ったか。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解析時は、誰も傷病者に触れないよう「みんな、離れて！」と声を出したか。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 w:val="restart"/>
            <w:vAlign w:val="center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「ショックが必要です。」の</w:t>
            </w:r>
          </w:p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メッセージ</w:t>
            </w: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ショック時は、誰も傷病者に触れないよう「みんな、離れて！」と声を出したか。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誰も傷病者に触れていないことを確認して、ショックボタンを押したか。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電気ショック終了後、すぐに胸骨圧迫を再開したか。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Align w:val="center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｢ショックは不要です。」のメッセージ</w:t>
            </w: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すぐに胸骨圧迫を再開したか。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Align w:val="center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胸骨圧迫の交代</w:t>
            </w: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人以上いる場合、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E85169">
              <w:rPr>
                <w:rFonts w:hint="eastAsia"/>
                <w:color w:val="000000"/>
                <w:sz w:val="20"/>
                <w:szCs w:val="20"/>
              </w:rPr>
              <w:t>分を目安に胸骨圧迫の役割を交代したか。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 w:val="restart"/>
            <w:vAlign w:val="center"/>
          </w:tcPr>
          <w:p w:rsidR="00AB121B" w:rsidRPr="00E85169" w:rsidRDefault="00AB121B" w:rsidP="00865CD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引継ぎ</w:t>
            </w:r>
          </w:p>
        </w:tc>
        <w:tc>
          <w:tcPr>
            <w:tcW w:w="7962" w:type="dxa"/>
            <w:gridSpan w:val="5"/>
          </w:tcPr>
          <w:p w:rsidR="00AB121B" w:rsidRPr="00E85169" w:rsidRDefault="00AB121B" w:rsidP="00865CD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救急隊が到着するまで、心肺蘇生を続けたか。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</w:trPr>
        <w:tc>
          <w:tcPr>
            <w:tcW w:w="1740" w:type="dxa"/>
            <w:gridSpan w:val="2"/>
            <w:vMerge/>
            <w:vAlign w:val="center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 w:rsidRPr="00E85169">
              <w:rPr>
                <w:rFonts w:hint="eastAsia"/>
                <w:color w:val="000000"/>
                <w:sz w:val="20"/>
                <w:szCs w:val="20"/>
              </w:rPr>
              <w:t>到着した救急隊に、傷病者の倒れた状況、心肺蘇生法及びＡＥＤによる除細動実施回数等を伝えたか。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  <w:trHeight w:val="270"/>
        </w:trPr>
        <w:tc>
          <w:tcPr>
            <w:tcW w:w="1740" w:type="dxa"/>
            <w:gridSpan w:val="2"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総合判断</w:t>
            </w:r>
          </w:p>
        </w:tc>
        <w:tc>
          <w:tcPr>
            <w:tcW w:w="7962" w:type="dxa"/>
            <w:gridSpan w:val="5"/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実施すべき処置の手順が正確で、処置内容に欠落はなかったか。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RPr="00AB121B" w:rsidTr="00AB121B">
        <w:trPr>
          <w:cantSplit/>
          <w:trHeight w:val="264"/>
        </w:trPr>
        <w:tc>
          <w:tcPr>
            <w:tcW w:w="1740" w:type="dxa"/>
            <w:gridSpan w:val="2"/>
            <w:vMerge w:val="restart"/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記録紙の評価</w:t>
            </w:r>
          </w:p>
        </w:tc>
        <w:tc>
          <w:tcPr>
            <w:tcW w:w="7962" w:type="dxa"/>
            <w:gridSpan w:val="5"/>
          </w:tcPr>
          <w:p w:rsidR="00AB121B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人工呼吸実施回数の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％以上が適であること。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  <w:trHeight w:val="147"/>
        </w:trPr>
        <w:tc>
          <w:tcPr>
            <w:tcW w:w="1740" w:type="dxa"/>
            <w:gridSpan w:val="2"/>
            <w:vMerge/>
            <w:vAlign w:val="center"/>
          </w:tcPr>
          <w:p w:rsidR="00AB121B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62" w:type="dxa"/>
            <w:gridSpan w:val="5"/>
          </w:tcPr>
          <w:p w:rsidR="00AB121B" w:rsidRDefault="00AB121B" w:rsidP="0026535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心臓マッサージ圧迫回数の</w:t>
            </w: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％以上が適であること。</w:t>
            </w:r>
          </w:p>
        </w:tc>
        <w:tc>
          <w:tcPr>
            <w:tcW w:w="452" w:type="dxa"/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  <w:tr w:rsidR="00AB121B" w:rsidTr="00AB121B">
        <w:trPr>
          <w:cantSplit/>
          <w:trHeight w:val="255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AB121B" w:rsidRPr="007E36A4" w:rsidRDefault="00AB121B" w:rsidP="0026535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7962" w:type="dxa"/>
            <w:gridSpan w:val="5"/>
            <w:tcBorders>
              <w:bottom w:val="single" w:sz="4" w:space="0" w:color="auto"/>
            </w:tcBorders>
          </w:tcPr>
          <w:p w:rsidR="00AB121B" w:rsidRPr="007E36A4" w:rsidRDefault="00AB121B" w:rsidP="002653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B121B" w:rsidRDefault="00AB121B" w:rsidP="00265358">
            <w:pPr>
              <w:spacing w:line="240" w:lineRule="exact"/>
              <w:jc w:val="center"/>
            </w:pPr>
          </w:p>
        </w:tc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AB121B" w:rsidRPr="006C6989" w:rsidRDefault="00AB121B" w:rsidP="002653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4C94" w:rsidRDefault="00BD0E93">
      <w:r>
        <w:rPr>
          <w:rFonts w:hint="eastAsia"/>
        </w:rPr>
        <w:t>※　合格基準：</w:t>
      </w:r>
      <w:r w:rsidR="00F371D3">
        <w:rPr>
          <w:rFonts w:hint="eastAsia"/>
        </w:rPr>
        <w:t>適の項目数が</w:t>
      </w:r>
      <w:r w:rsidR="00F371D3">
        <w:rPr>
          <w:rFonts w:hint="eastAsia"/>
        </w:rPr>
        <w:t>26</w:t>
      </w:r>
      <w:r>
        <w:rPr>
          <w:rFonts w:hint="eastAsia"/>
        </w:rPr>
        <w:t>以上であること。</w:t>
      </w:r>
      <w:bookmarkStart w:id="0" w:name="_GoBack"/>
      <w:bookmarkEnd w:id="0"/>
    </w:p>
    <w:sectPr w:rsidR="00044C94" w:rsidSect="00695EE7">
      <w:pgSz w:w="11906" w:h="16838" w:code="9"/>
      <w:pgMar w:top="680" w:right="567" w:bottom="680" w:left="851" w:header="851" w:footer="992" w:gutter="11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16" w:rsidRDefault="00215E16" w:rsidP="00B92276">
      <w:r>
        <w:separator/>
      </w:r>
    </w:p>
  </w:endnote>
  <w:endnote w:type="continuationSeparator" w:id="0">
    <w:p w:rsidR="00215E16" w:rsidRDefault="00215E16" w:rsidP="00B9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16" w:rsidRDefault="00215E16" w:rsidP="00B92276">
      <w:r>
        <w:separator/>
      </w:r>
    </w:p>
  </w:footnote>
  <w:footnote w:type="continuationSeparator" w:id="0">
    <w:p w:rsidR="00215E16" w:rsidRDefault="00215E16" w:rsidP="00B9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8F"/>
    <w:rsid w:val="00044C94"/>
    <w:rsid w:val="000C2DA4"/>
    <w:rsid w:val="00215E16"/>
    <w:rsid w:val="00236E55"/>
    <w:rsid w:val="00265358"/>
    <w:rsid w:val="0029238F"/>
    <w:rsid w:val="002D21C4"/>
    <w:rsid w:val="002E37C9"/>
    <w:rsid w:val="003405C6"/>
    <w:rsid w:val="00346A0D"/>
    <w:rsid w:val="00447912"/>
    <w:rsid w:val="004C184F"/>
    <w:rsid w:val="005F145E"/>
    <w:rsid w:val="00630168"/>
    <w:rsid w:val="00691967"/>
    <w:rsid w:val="00695EE7"/>
    <w:rsid w:val="006C6989"/>
    <w:rsid w:val="007E36A4"/>
    <w:rsid w:val="008128F9"/>
    <w:rsid w:val="00865CD9"/>
    <w:rsid w:val="00A76543"/>
    <w:rsid w:val="00AB121B"/>
    <w:rsid w:val="00AB2668"/>
    <w:rsid w:val="00AD6C86"/>
    <w:rsid w:val="00AF2221"/>
    <w:rsid w:val="00B461B4"/>
    <w:rsid w:val="00B92276"/>
    <w:rsid w:val="00BD0E93"/>
    <w:rsid w:val="00BF0102"/>
    <w:rsid w:val="00CB432A"/>
    <w:rsid w:val="00D355FF"/>
    <w:rsid w:val="00D63D5D"/>
    <w:rsid w:val="00DF7651"/>
    <w:rsid w:val="00EC2FB6"/>
    <w:rsid w:val="00EE61FD"/>
    <w:rsid w:val="00EF12A0"/>
    <w:rsid w:val="00EF2FE6"/>
    <w:rsid w:val="00F371D3"/>
    <w:rsid w:val="00FC44E7"/>
    <w:rsid w:val="00FC5B1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2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2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B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B1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2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2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B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B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2016-03-29T02:57:00Z</dcterms:created>
  <dcterms:modified xsi:type="dcterms:W3CDTF">2016-08-03T06:23:00Z</dcterms:modified>
</cp:coreProperties>
</file>